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40" w:line="300" w:lineRule="auto"/>
        <w:jc w:val="left"/>
      </w:pPr>
    </w:p>
    <w:p>
      <w:pPr>
        <w:spacing w:before="0" w:after="200" w:line="300" w:lineRule="auto"/>
        <w:jc w:val="center"/>
      </w:pPr>
      <w:r>
        <w:rPr>
          <w:rFonts w:ascii="Calibri" w:hAnsi="Calibri" w:eastAsia="Calibri"/>
          <w:b/>
          <w:i w:val="0"/>
          <w:color w:val="0B2545"/>
          <w:sz w:val="28"/>
        </w:rPr>
        <w:t>PROCUREX INTERNATIONAL CONSULTING</w:t>
      </w:r>
    </w:p>
    <w:p>
      <w:pPr>
        <w:spacing w:before="0" w:after="1040" w:line="300" w:lineRule="auto"/>
        <w:jc w:val="center"/>
      </w:pPr>
      <w:r>
        <w:rPr>
          <w:rFonts w:ascii="Calibri" w:hAnsi="Calibri" w:eastAsia="Calibri"/>
          <w:b w:val="0"/>
          <w:i w:val="0"/>
          <w:color w:val="5C6773"/>
          <w:sz w:val="22"/>
        </w:rPr>
        <w:t>Cabinet d'etude et de conseil specialise en gestion des marches publics</w:t>
      </w:r>
    </w:p>
    <w:p>
      <w:pPr>
        <w:spacing w:before="0" w:after="0" w:line="240" w:lineRule="auto"/>
        <w:jc w:val="center"/>
      </w:pPr>
      <w:r>
        <w:rPr>
          <w:rFonts w:ascii="Calibri" w:hAnsi="Calibri" w:eastAsia="Calibri"/>
          <w:b/>
          <w:i w:val="0"/>
          <w:color w:val="0B2545"/>
          <w:sz w:val="64"/>
        </w:rPr>
        <w:t>FICHE CHECK</w:t>
      </w:r>
    </w:p>
    <w:p>
      <w:pPr>
        <w:spacing w:before="0" w:after="280" w:line="240" w:lineRule="auto"/>
        <w:jc w:val="center"/>
      </w:pPr>
      <w:r>
        <w:rPr>
          <w:rFonts w:ascii="Calibri" w:hAnsi="Calibri" w:eastAsia="Calibri"/>
          <w:b/>
          <w:i w:val="0"/>
          <w:color w:val="0B2545"/>
          <w:sz w:val="44"/>
        </w:rPr>
        <w:t>D'EVALUATION D'ENTREPRISE CLIENTE</w:t>
      </w:r>
    </w:p>
    <w:p>
      <w:pPr>
        <w:spacing w:before="0" w:after="920" w:line="300" w:lineRule="auto"/>
        <w:jc w:val="center"/>
      </w:pPr>
      <w:r>
        <w:rPr>
          <w:rFonts w:ascii="Calibri" w:hAnsi="Calibri" w:eastAsia="Calibri"/>
          <w:b w:val="0"/>
          <w:i/>
          <w:color w:val="505050"/>
          <w:sz w:val="25"/>
        </w:rPr>
        <w:t>Evaluation de charge, potentiel, risque et niveau d'honoraires annuels</w:t>
      </w:r>
    </w:p>
    <w:tbl>
      <w:tblGrid>
        <w:gridCol w:w="2340"/>
        <w:gridCol w:w="4680"/>
      </w:tblGrid>
      <w:tblPr>
        <w:tblW w:type="dxa" w:w="7020"/>
        <w:jc w:val="left"/>
        <w:tblLayout w:type="fixed"/>
        <w:tblLook w:firstColumn="1" w:firstRow="1" w:lastColumn="0" w:lastRow="0" w:noHBand="0" w:noVBand="1" w:val="04A0"/>
        <w:tblInd w:w="117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3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9"/>
              </w:rPr>
              <w:t>Siege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9"/>
              </w:rPr>
              <w:t>Cotonou</w:t>
            </w:r>
          </w:p>
        </w:tc>
      </w:tr>
      <w:tr>
        <w:trPr>
          <w:trHeight w:hRule="atLeast" w:val="360"/>
        </w:trPr>
        <w:tc>
          <w:tcPr>
            <w:tcW w:type="dxa" w:w="234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9"/>
              </w:rPr>
              <w:t>Version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9"/>
              </w:rPr>
              <w:t>1.0</w:t>
            </w:r>
          </w:p>
        </w:tc>
      </w:tr>
      <w:tr>
        <w:trPr>
          <w:trHeight w:hRule="atLeast" w:val="360"/>
        </w:trPr>
        <w:tc>
          <w:tcPr>
            <w:tcW w:type="dxa" w:w="234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9"/>
              </w:rPr>
              <w:t>Periode d'utilisation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9"/>
              </w:rPr>
              <w:t>Avant proposition commerciale annuelle</w:t>
            </w:r>
          </w:p>
        </w:tc>
      </w:tr>
      <w:tr>
        <w:trPr>
          <w:trHeight w:hRule="atLeast" w:val="360"/>
        </w:trPr>
        <w:tc>
          <w:tcPr>
            <w:tcW w:type="dxa" w:w="234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9"/>
              </w:rPr>
              <w:t>Document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9"/>
              </w:rPr>
              <w:t>Confidentiel - qualification interne et commerciale</w:t>
            </w:r>
          </w:p>
        </w:tc>
      </w:tr>
    </w:tbl>
    <w:p>
      <w:pPr>
        <w:spacing w:before="0" w:after="680" w:line="300" w:lineRule="auto"/>
        <w:jc w:val="left"/>
      </w:pPr>
    </w:p>
    <w:p>
      <w:pPr>
        <w:spacing w:before="0" w:after="200" w:line="300" w:lineRule="auto"/>
        <w:ind w:left="792" w:right="792"/>
        <w:jc w:val="center"/>
      </w:pPr>
      <w:r>
        <w:rPr>
          <w:rFonts w:ascii="Calibri" w:hAnsi="Calibri" w:eastAsia="Calibri"/>
          <w:b w:val="0"/>
          <w:i w:val="0"/>
          <w:color w:val="505050"/>
          <w:sz w:val="20"/>
        </w:rPr>
        <w:t>A completer pour chaque entreprise qui sollicite PROCUREX afin d'estimer le volume de travail, le potentiel commercial, le risque d'execution et le juste niveau d'honoraires.</w:t>
      </w:r>
    </w:p>
    <w:p>
      <w:pPr>
        <w:spacing w:before="0" w:after="0" w:line="300" w:lineRule="auto"/>
        <w:jc w:val="center"/>
      </w:pPr>
      <w:r>
        <w:rPr>
          <w:rFonts w:ascii="Calibri" w:hAnsi="Calibri" w:eastAsia="Calibri"/>
          <w:b/>
          <w:i w:val="0"/>
          <w:color w:val="0B2545"/>
          <w:sz w:val="21"/>
        </w:rPr>
        <w:t>Cotonou - Juin 2026</w:t>
      </w:r>
    </w:p>
    <w:p>
      <w:r>
        <w:br w:type="page"/>
      </w:r>
    </w:p>
    <w:p>
      <w:pPr>
        <w:spacing w:before="0" w:after="80" w:line="300" w:lineRule="auto"/>
        <w:jc w:val="left"/>
      </w:pPr>
      <w:r>
        <w:rPr>
          <w:rFonts w:ascii="Calibri" w:hAnsi="Calibri" w:eastAsia="Calibri"/>
          <w:b/>
          <w:i w:val="0"/>
          <w:color w:val="8F681B"/>
          <w:sz w:val="19"/>
          <w:caps w:val="1"/>
        </w:rPr>
        <w:t>Qualification commerciale</w:t>
      </w:r>
    </w:p>
    <w:p>
      <w:pPr>
        <w:pStyle w:val="Heading1"/>
      </w:pPr>
      <w:r>
        <w:t>Mode d'emploi et synthese de decision</w:t>
      </w:r>
    </w:p>
    <w:tbl>
      <w:tblGrid>
        <w:gridCol w:w="93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shd w:fill="F4F6F9"/>
          </w:tcPr>
          <w:p>
            <w:pPr>
              <w:spacing w:after="60"/>
            </w:pPr>
            <w:r/>
            <w:r>
              <w:rPr>
                <w:rFonts w:ascii="Calibri" w:hAnsi="Calibri" w:eastAsia="Calibri"/>
                <w:b/>
                <w:color w:val="0B2545"/>
                <w:sz w:val="21"/>
              </w:rPr>
              <w:t>Objectif de la fiche</w:t>
            </w:r>
          </w:p>
          <w:p>
            <w:pPr>
              <w:spacing w:before="0" w:after="0" w:line="288" w:lineRule="auto"/>
            </w:pPr>
            <w:r>
              <w:rPr>
                <w:rFonts w:ascii="Calibri" w:hAnsi="Calibri" w:eastAsia="Calibri"/>
                <w:color w:val="232323"/>
                <w:sz w:val="19"/>
              </w:rPr>
              <w:t>Cette fiche sert a qualifier une entreprise cliente avant signature d'un contrat annuel. Elle aide a apprecier la charge probable de PROCUREX, le potentiel financier du client, sa maturite en marches publics et les risques pouvant justifier une majoration ou un accompagnement limite.</w:t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2300"/>
        <w:gridCol w:w="70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Entreprise evaluee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Secteur d'activite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Interlocuteur principal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Date de l'entretien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Consultant PROCUREX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Decision provisoire</w:t>
            </w:r>
          </w:p>
        </w:tc>
        <w:tc>
          <w:tcPr>
            <w:tcW w:type="dxa" w:w="706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[ ] Contrat annuel   [ ] Mission ponctuelle   [ ] Informations complementaires   [ ] Non prioritaire</w:t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2"/>
      </w:pPr>
      <w:r>
        <w:t>Lecture rapide des resultats</w:t>
      </w:r>
    </w:p>
    <w:tbl>
      <w:tblGrid>
        <w:gridCol w:w="1700"/>
        <w:gridCol w:w="1500"/>
        <w:gridCol w:w="3860"/>
        <w:gridCol w:w="230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Indicateur</w:t>
            </w:r>
          </w:p>
        </w:tc>
        <w:tc>
          <w:tcPr>
            <w:tcW w:type="dxa" w:w="15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Score / niveau</w:t>
            </w:r>
          </w:p>
        </w:tc>
        <w:tc>
          <w:tcPr>
            <w:tcW w:type="dxa" w:w="38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Interpretation</w:t>
            </w:r>
          </w:p>
        </w:tc>
        <w:tc>
          <w:tcPr>
            <w:tcW w:type="dxa" w:w="23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Decision possible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Score potentiel</w:t>
            </w:r>
          </w:p>
        </w:tc>
        <w:tc>
          <w:tcPr>
            <w:tcW w:type="dxa" w:w="15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/50</w:t>
            </w:r>
          </w:p>
        </w:tc>
        <w:tc>
          <w:tcPr>
            <w:tcW w:type="dxa" w:w="38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Valeur commerciale, recurrence, taille des marches, budget conseil</w:t>
            </w:r>
          </w:p>
        </w:tc>
        <w:tc>
          <w:tcPr>
            <w:tcW w:type="dxa" w:w="23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Aide a calibrer le plafond d'honoraires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Score charge</w:t>
            </w:r>
          </w:p>
        </w:tc>
        <w:tc>
          <w:tcPr>
            <w:tcW w:type="dxa" w:w="15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/50</w:t>
            </w:r>
          </w:p>
        </w:tc>
        <w:tc>
          <w:tcPr>
            <w:tcW w:type="dxa" w:w="38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Volume de soumissions, urgence, complexite, suivi post-attribution</w:t>
            </w:r>
          </w:p>
        </w:tc>
        <w:tc>
          <w:tcPr>
            <w:tcW w:type="dxa" w:w="23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Aide a calibrer le temps equipe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Risque client</w:t>
            </w:r>
          </w:p>
        </w:tc>
        <w:tc>
          <w:tcPr>
            <w:tcW w:type="dxa" w:w="15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Faible / Moyen / Eleve</w:t>
            </w:r>
          </w:p>
        </w:tc>
        <w:tc>
          <w:tcPr>
            <w:tcW w:type="dxa" w:w="38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Contentieux, retards, resiliations, solvabilite, reputation</w:t>
            </w:r>
          </w:p>
        </w:tc>
        <w:tc>
          <w:tcPr>
            <w:tcW w:type="dxa" w:w="23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Majoration, conditions strictes ou refus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Autonomie interne</w:t>
            </w:r>
          </w:p>
        </w:tc>
        <w:tc>
          <w:tcPr>
            <w:tcW w:type="dxa" w:w="15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Faible / Moyenne / Forte</w:t>
            </w:r>
          </w:p>
        </w:tc>
        <w:tc>
          <w:tcPr>
            <w:tcW w:type="dxa" w:w="38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Capacite du client a fournir vite les pieces et informations</w:t>
            </w:r>
          </w:p>
        </w:tc>
        <w:tc>
          <w:tcPr>
            <w:tcW w:type="dxa" w:w="23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Reduction ou renforcement du forfait</w:t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93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shd w:fill="FFF8E8"/>
          </w:tcPr>
          <w:p>
            <w:pPr>
              <w:spacing w:after="60"/>
            </w:pPr>
            <w:r/>
            <w:r>
              <w:rPr>
                <w:rFonts w:ascii="Calibri" w:hAnsi="Calibri" w:eastAsia="Calibri"/>
                <w:b/>
                <w:color w:val="0B2545"/>
                <w:sz w:val="21"/>
              </w:rPr>
              <w:t>Principe de fixation des honoraires</w:t>
            </w:r>
          </w:p>
          <w:p>
            <w:pPr>
              <w:spacing w:before="0" w:after="0" w:line="288" w:lineRule="auto"/>
            </w:pPr>
            <w:r>
              <w:rPr>
                <w:rFonts w:ascii="Calibri" w:hAnsi="Calibri" w:eastAsia="Calibri"/>
                <w:color w:val="232323"/>
                <w:sz w:val="19"/>
              </w:rPr>
              <w:t>Honoraire annuel recommande = forfait de base + volume de soumissions + complexite technique + suivi contractuel + majoration risque/urgence - reduction liee a l'autonomie du client. Une commission de succes peut etre ajoutee si elle est conforme au cadre contractuel et aux regles applicables.</w:t>
            </w:r>
          </w:p>
        </w:tc>
      </w:tr>
    </w:tbl>
    <w:p>
      <w:pPr>
        <w:spacing w:before="0" w:after="40" w:line="300" w:lineRule="auto"/>
        <w:jc w:val="left"/>
      </w:pPr>
    </w:p>
    <w:p>
      <w:pPr>
        <w:spacing w:before="0" w:after="80" w:line="300" w:lineRule="auto"/>
        <w:jc w:val="left"/>
      </w:pPr>
      <w:r>
        <w:rPr>
          <w:rFonts w:ascii="Calibri" w:hAnsi="Calibri" w:eastAsia="Calibri"/>
          <w:b/>
          <w:i w:val="0"/>
          <w:color w:val="8F681B"/>
          <w:sz w:val="19"/>
          <w:caps w:val="1"/>
        </w:rPr>
        <w:t>Diagnostic client</w:t>
      </w:r>
    </w:p>
    <w:p>
      <w:pPr>
        <w:pStyle w:val="Heading1"/>
      </w:pPr>
      <w:r>
        <w:t>1. Identification et profil general</w:t>
      </w:r>
    </w:p>
    <w:tbl>
      <w:tblGrid>
        <w:gridCol w:w="2250"/>
        <w:gridCol w:w="711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Raison sociale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Forme juridique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Adresse / ville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Annee de creation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Dirigeant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Contact operationnel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Email / telephone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Effectif total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Experience marches publics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[ ] Debutant   [ ] Moyen   [ ] Experimente   [ ] Tres experimente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Typologie d'entreprise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[ ] TPE   [ ] PME   [ ] Grande entreprise   [ ] Groupement   [ ] Sous-traitant</w:t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2"/>
      </w:pPr>
      <w:r>
        <w:t>2. Profil financier et capacite d'execution</w:t>
      </w:r>
    </w:p>
    <w:tbl>
      <w:tblGrid>
        <w:gridCol w:w="3180"/>
        <w:gridCol w:w="760"/>
        <w:gridCol w:w="760"/>
        <w:gridCol w:w="760"/>
        <w:gridCol w:w="760"/>
        <w:gridCol w:w="314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Critere a verifier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Faible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Moyen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Bon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Tres bon</w:t>
            </w:r>
          </w:p>
        </w:tc>
        <w:tc>
          <w:tcPr>
            <w:tcW w:type="dxa" w:w="31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Observations / pieces a demander</w:t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Chiffre d'affaires des 3 dernieres annees disponible et coherent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Chiffre d'affaires moyen annuel suffisant pour les marches vises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Part du chiffre d'affaires provenant des marches publics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Tresorerie disponible pour demarrer un contrat avant paiement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Acces aux cautions, garanties bancaires ou lignes de credit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Situation fiscale et sociale a jour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Capacite a supporter les penalites, retards ou avances de frais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2250"/>
        <w:gridCol w:w="711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CA N-3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CA N-2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CA N-1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CA moyen annuel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Part estimative marches publics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%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Plus gros marche execute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Budget annuel conseil envisage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3. Activite marches publics</w:t>
      </w:r>
    </w:p>
    <w:tbl>
      <w:tblGrid>
        <w:gridCol w:w="2250"/>
        <w:gridCol w:w="711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Nombre moyen d'appels d'offres analyses par an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Nombre moyen de marches postules par an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Nombre de contrats obtenus par an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Taux de succes approximatif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Contrats obtenus / dossiers deposes x 100 = ____ %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Montant moyen des contrats obtenus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Objectif de soumissions sur 12 mois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Objectif de contrats obtenus sur 12 mois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1840"/>
        <w:gridCol w:w="4720"/>
        <w:gridCol w:w="280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8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Categorie</w:t>
            </w:r>
          </w:p>
        </w:tc>
        <w:tc>
          <w:tcPr>
            <w:tcW w:type="dxa" w:w="472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Elements a cocher / renseigner</w:t>
            </w:r>
          </w:p>
        </w:tc>
        <w:tc>
          <w:tcPr>
            <w:tcW w:type="dxa" w:w="28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Commentaires</w:t>
            </w:r>
          </w:p>
        </w:tc>
      </w:tr>
      <w:tr>
        <w:tc>
          <w:tcPr>
            <w:tcW w:type="dxa" w:w="1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Types de marches</w:t>
            </w:r>
          </w:p>
        </w:tc>
        <w:tc>
          <w:tcPr>
            <w:tcW w:type="dxa" w:w="47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Travaux   [ ] Fournitures   [ ] Services   [ ] Prestations intellectuelles   [ ] Autres</w:t>
            </w:r>
          </w:p>
        </w:tc>
        <w:tc>
          <w:tcPr>
            <w:tcW w:type="dxa" w:w="28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Acheteurs cibles</w:t>
            </w:r>
          </w:p>
        </w:tc>
        <w:tc>
          <w:tcPr>
            <w:tcW w:type="dxa" w:w="47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Etat   [ ] Collectivites   [ ] Etablissements publics   [ ] Societes d'Etat   [ ] Bailleurs</w:t>
            </w:r>
          </w:p>
        </w:tc>
        <w:tc>
          <w:tcPr>
            <w:tcW w:type="dxa" w:w="28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Zones cibles</w:t>
            </w:r>
          </w:p>
        </w:tc>
        <w:tc>
          <w:tcPr>
            <w:tcW w:type="dxa" w:w="47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Cotonou   [ ] Benin   [ ] UEMOA   [ ] International   [ ] Autres</w:t>
            </w:r>
          </w:p>
        </w:tc>
        <w:tc>
          <w:tcPr>
            <w:tcW w:type="dxa" w:w="28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Sources de veille</w:t>
            </w:r>
          </w:p>
        </w:tc>
        <w:tc>
          <w:tcPr>
            <w:tcW w:type="dxa" w:w="47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Portails officiels   [ ] Relations   [ ] Presse   [ ] Bailleurs   [ ] PROCUREX</w:t>
            </w:r>
          </w:p>
        </w:tc>
        <w:tc>
          <w:tcPr>
            <w:tcW w:type="dxa" w:w="28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Strategie de lots</w:t>
            </w:r>
          </w:p>
        </w:tc>
        <w:tc>
          <w:tcPr>
            <w:tcW w:type="dxa" w:w="47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Lots simples   [ ] Multi-lots   [ ] Groupements   [ ] Sous-traitance   [ ] Variantes</w:t>
            </w:r>
          </w:p>
        </w:tc>
        <w:tc>
          <w:tcPr>
            <w:tcW w:type="dxa" w:w="28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4. Organisation interne et maturite administrative</w:t>
      </w:r>
    </w:p>
    <w:p>
      <w:pPr>
        <w:pStyle w:val="Heading2"/>
      </w:pPr>
      <w:r>
        <w:t>Pieces, methodes et reactivite</w:t>
      </w:r>
    </w:p>
    <w:tbl>
      <w:tblGrid>
        <w:gridCol w:w="3180"/>
        <w:gridCol w:w="760"/>
        <w:gridCol w:w="760"/>
        <w:gridCol w:w="760"/>
        <w:gridCol w:w="760"/>
        <w:gridCol w:w="314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Critere a verifier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Faible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Moyen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Bon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Tres bon</w:t>
            </w:r>
          </w:p>
        </w:tc>
        <w:tc>
          <w:tcPr>
            <w:tcW w:type="dxa" w:w="31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Observations / pieces a demander</w:t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Un responsable appels d'offres est identifie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documents juridiques et administratifs sont a jour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attestations fiscales/sociales sont disponibles rapidement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references techniques sont formalisees et prouvables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CV du personnel cle sont disponibles et actualises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modeles de memoire technique ou d'offre existent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delais internes permettent de produire une offre sans urgence permanente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5. Capacite technique et operationnelle</w:t>
      </w:r>
    </w:p>
    <w:p>
      <w:pPr>
        <w:pStyle w:val="Heading2"/>
      </w:pPr>
      <w:r>
        <w:t>Moyens d'execution</w:t>
      </w:r>
    </w:p>
    <w:tbl>
      <w:tblGrid>
        <w:gridCol w:w="3180"/>
        <w:gridCol w:w="760"/>
        <w:gridCol w:w="760"/>
        <w:gridCol w:w="760"/>
        <w:gridCol w:w="760"/>
        <w:gridCol w:w="314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Critere a verifier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Faible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Moyen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Bon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Tres bon</w:t>
            </w:r>
          </w:p>
        </w:tc>
        <w:tc>
          <w:tcPr>
            <w:tcW w:type="dxa" w:w="31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Observations / pieces a demander</w:t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Personnel qualifie et disponible pour les marches vises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Materiel, logistique ou outils suffisants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References similaires avec attestations de bonne execution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Capacite de mobilisation rapide apres attribution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Partenaires, sous-traitants ou groupements fiables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Capacite de gestion documentaire pendant l'execution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Systeme qualite, HSE ou procedures internes lorsque requis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2250"/>
        <w:gridCol w:w="711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Domaines forts de l'entreprise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Lacunes techniques identifiees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Ressources critiques a renforcer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Partenariats utiles a structurer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6. Historique contractuel, contentieux et risques</w:t>
      </w:r>
    </w:p>
    <w:tbl>
      <w:tblGrid>
        <w:gridCol w:w="1980"/>
        <w:gridCol w:w="1420"/>
        <w:gridCol w:w="3180"/>
        <w:gridCol w:w="278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9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Risque</w:t>
            </w:r>
          </w:p>
        </w:tc>
        <w:tc>
          <w:tcPr>
            <w:tcW w:type="dxa" w:w="142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Nombre / niveau</w:t>
            </w:r>
          </w:p>
        </w:tc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Details</w:t>
            </w:r>
          </w:p>
        </w:tc>
        <w:tc>
          <w:tcPr>
            <w:tcW w:type="dxa" w:w="27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Impact honoraires</w:t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Contentieux lies aux marches publics</w:t>
            </w:r>
          </w:p>
        </w:tc>
        <w:tc>
          <w:tcPr>
            <w:tcW w:type="dxa" w:w="14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Aucun   [ ] Majoration   [ ] Conditions strictes</w:t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Resiliations de contrats</w:t>
            </w:r>
          </w:p>
        </w:tc>
        <w:tc>
          <w:tcPr>
            <w:tcW w:type="dxa" w:w="14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Aucun   [ ] Analyse juridique   [ ] Refus possible</w:t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Penalites de retard</w:t>
            </w:r>
          </w:p>
        </w:tc>
        <w:tc>
          <w:tcPr>
            <w:tcW w:type="dxa" w:w="14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Faible   [ ] Moyen   [ ] Eleve</w:t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Litiges avec administrations</w:t>
            </w:r>
          </w:p>
        </w:tc>
        <w:tc>
          <w:tcPr>
            <w:tcW w:type="dxa" w:w="14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Aucun   [ ] Mineur   [ ] Serieux</w:t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Problemes de livraison ou execution</w:t>
            </w:r>
          </w:p>
        </w:tc>
        <w:tc>
          <w:tcPr>
            <w:tcW w:type="dxa" w:w="14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Rare   [ ] Occasionnel   [ ] Frequent</w:t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Risque reputationnel</w:t>
            </w:r>
          </w:p>
        </w:tc>
        <w:tc>
          <w:tcPr>
            <w:tcW w:type="dxa" w:w="14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7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Faible   [ ] Moyen   [ ] Eleve</w:t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93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shd w:fill="FFF2F2"/>
          </w:tcPr>
          <w:p>
            <w:pPr>
              <w:spacing w:after="60"/>
            </w:pPr>
            <w:r/>
            <w:r>
              <w:rPr>
                <w:rFonts w:ascii="Calibri" w:hAnsi="Calibri" w:eastAsia="Calibri"/>
                <w:b/>
                <w:color w:val="0B2545"/>
                <w:sz w:val="21"/>
              </w:rPr>
              <w:t>Point d'attention</w:t>
            </w:r>
          </w:p>
          <w:p>
            <w:pPr>
              <w:spacing w:before="0" w:after="0" w:line="288" w:lineRule="auto"/>
            </w:pPr>
            <w:r>
              <w:rPr>
                <w:rFonts w:ascii="Calibri" w:hAnsi="Calibri" w:eastAsia="Calibri"/>
                <w:color w:val="232323"/>
                <w:sz w:val="19"/>
              </w:rPr>
              <w:t>Un client a fort potentiel mais tres risque ne doit pas automatiquement basculer en contrat annuel. Prevoir des jalons, une avance, une limitation du perimetre ou une mission test avant engagement complet.</w:t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7. Besoin d'accompagnement PROCUREX</w:t>
      </w:r>
    </w:p>
    <w:tbl>
      <w:tblGrid>
        <w:gridCol w:w="3180"/>
        <w:gridCol w:w="1480"/>
        <w:gridCol w:w="1850"/>
        <w:gridCol w:w="285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Service</w:t>
            </w:r>
          </w:p>
        </w:tc>
        <w:tc>
          <w:tcPr>
            <w:tcW w:type="dxa" w:w="14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Besoin</w:t>
            </w:r>
          </w:p>
        </w:tc>
        <w:tc>
          <w:tcPr>
            <w:tcW w:type="dxa" w:w="185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Frequence estimee</w:t>
            </w:r>
          </w:p>
        </w:tc>
        <w:tc>
          <w:tcPr>
            <w:tcW w:type="dxa" w:w="285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Commentaire</w:t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Veille et identification des appels d'offres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Selection des opportunites pertinentes</w:t>
            </w:r>
          </w:p>
        </w:tc>
        <w:tc>
          <w:tcPr>
            <w:tcW w:type="dxa" w:w="1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Analyse des DAO / dossiers de consultation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Montage administratif des dossiers</w:t>
            </w:r>
          </w:p>
        </w:tc>
        <w:tc>
          <w:tcPr>
            <w:tcW w:type="dxa" w:w="1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Redaction des offres techniques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Appui financier, bordereaux et prix</w:t>
            </w:r>
          </w:p>
        </w:tc>
        <w:tc>
          <w:tcPr>
            <w:tcW w:type="dxa" w:w="1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Depot et suivi des offres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Preparation aux clarifications / negociations</w:t>
            </w:r>
          </w:p>
        </w:tc>
        <w:tc>
          <w:tcPr>
            <w:tcW w:type="dxa" w:w="1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Gestion contractuelle apres attribution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Reclamations, recours ou contentieux</w:t>
            </w:r>
          </w:p>
        </w:tc>
        <w:tc>
          <w:tcPr>
            <w:tcW w:type="dxa" w:w="1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Formation interne des equipes</w:t>
            </w:r>
          </w:p>
        </w:tc>
        <w:tc>
          <w:tcPr>
            <w:tcW w:type="dxa" w:w="1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Oui   [ ] Non</w:t>
            </w:r>
          </w:p>
        </w:tc>
        <w:tc>
          <w:tcPr>
            <w:tcW w:type="dxa" w:w="1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8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1"/>
      </w:pPr>
      <w:r>
        <w:t>8. Charge previsionnelle sur 12 mois</w:t>
      </w:r>
    </w:p>
    <w:tbl>
      <w:tblGrid>
        <w:gridCol w:w="2520"/>
        <w:gridCol w:w="1000"/>
        <w:gridCol w:w="1000"/>
        <w:gridCol w:w="1000"/>
        <w:gridCol w:w="1360"/>
        <w:gridCol w:w="248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252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Facteur de charge</w:t>
            </w:r>
          </w:p>
        </w:tc>
        <w:tc>
          <w:tcPr>
            <w:tcW w:type="dxa" w:w="10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Faible</w:t>
            </w:r>
          </w:p>
        </w:tc>
        <w:tc>
          <w:tcPr>
            <w:tcW w:type="dxa" w:w="10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Moyen</w:t>
            </w:r>
          </w:p>
        </w:tc>
        <w:tc>
          <w:tcPr>
            <w:tcW w:type="dxa" w:w="10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Eleve</w:t>
            </w:r>
          </w:p>
        </w:tc>
        <w:tc>
          <w:tcPr>
            <w:tcW w:type="dxa" w:w="13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Tres eleve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Elements de preuve</w:t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Nombre de soumissions prevues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1-3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4-8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9-15</w:t>
            </w:r>
          </w:p>
        </w:tc>
        <w:tc>
          <w:tcPr>
            <w:tcW w:type="dxa" w:w="13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16+</w:t>
            </w:r>
          </w:p>
        </w:tc>
        <w:tc>
          <w:tcPr>
            <w:tcW w:type="dxa" w:w="2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Complexite moyenne des DAO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Simple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Standard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Technique</w:t>
            </w:r>
          </w:p>
        </w:tc>
        <w:tc>
          <w:tcPr>
            <w:tcW w:type="dxa" w:w="13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Bailleurs / multi-lots</w:t>
            </w:r>
          </w:p>
        </w:tc>
        <w:tc>
          <w:tcPr>
            <w:tcW w:type="dxa" w:w="2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Urgence recurrente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Rare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Occas.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Frequent</w:t>
            </w:r>
          </w:p>
        </w:tc>
        <w:tc>
          <w:tcPr>
            <w:tcW w:type="dxa" w:w="13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Quasi system.</w:t>
            </w:r>
          </w:p>
        </w:tc>
        <w:tc>
          <w:tcPr>
            <w:tcW w:type="dxa" w:w="2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Autonomie du client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Forte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Moyenne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Faible</w:t>
            </w:r>
          </w:p>
        </w:tc>
        <w:tc>
          <w:tcPr>
            <w:tcW w:type="dxa" w:w="13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Tres faible</w:t>
            </w:r>
          </w:p>
        </w:tc>
        <w:tc>
          <w:tcPr>
            <w:tcW w:type="dxa" w:w="2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Suivi post-attribution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Aucun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Limite</w:t>
            </w:r>
          </w:p>
        </w:tc>
        <w:tc>
          <w:tcPr>
            <w:tcW w:type="dxa" w:w="1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Regulier</w:t>
            </w:r>
          </w:p>
        </w:tc>
        <w:tc>
          <w:tcPr>
            <w:tcW w:type="dxa" w:w="13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Intensif</w:t>
            </w:r>
          </w:p>
        </w:tc>
        <w:tc>
          <w:tcPr>
            <w:tcW w:type="dxa" w:w="2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Contentieux / reclamations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Aucun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Mineur</w:t>
            </w:r>
          </w:p>
        </w:tc>
        <w:tc>
          <w:tcPr>
            <w:tcW w:type="dxa" w:w="1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Regulier</w:t>
            </w:r>
          </w:p>
        </w:tc>
        <w:tc>
          <w:tcPr>
            <w:tcW w:type="dxa" w:w="13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Critique</w:t>
            </w:r>
          </w:p>
        </w:tc>
        <w:tc>
          <w:tcPr>
            <w:tcW w:type="dxa" w:w="2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9. Potentiel commercial et strategie client</w:t>
      </w:r>
    </w:p>
    <w:p>
      <w:pPr>
        <w:pStyle w:val="Heading2"/>
      </w:pPr>
      <w:r>
        <w:t>Potentiel de developpement</w:t>
      </w:r>
    </w:p>
    <w:tbl>
      <w:tblGrid>
        <w:gridCol w:w="3180"/>
        <w:gridCol w:w="760"/>
        <w:gridCol w:w="760"/>
        <w:gridCol w:w="760"/>
        <w:gridCol w:w="760"/>
        <w:gridCol w:w="314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31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Critere a verifier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Faible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Moyen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Bon</w:t>
            </w:r>
          </w:p>
        </w:tc>
        <w:tc>
          <w:tcPr>
            <w:tcW w:type="dxa" w:w="7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Tres bon</w:t>
            </w:r>
          </w:p>
        </w:tc>
        <w:tc>
          <w:tcPr>
            <w:tcW w:type="dxa" w:w="31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Observations / pieces a demander</w:t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client a une strategie annuelle claire de developpement par les marches publics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Les secteurs cibles correspondent a ses references et capacites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panier moyen des marches vises justifie un contrat annuel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client peut financer un accompagnement recurrent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dirigeant comprend l'interet d'une preparation en amont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client peut devenir une reference ou generer des recommandations</w:t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31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Le potentiel justifie une relation long terme plutot qu'une mission ponctuelle</w:t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7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1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1"/>
      </w:pPr>
      <w:r>
        <w:t>10. Grille de scoring /100</w:t>
      </w:r>
    </w:p>
    <w:tbl>
      <w:tblGrid>
        <w:gridCol w:w="1980"/>
        <w:gridCol w:w="3380"/>
        <w:gridCol w:w="630"/>
        <w:gridCol w:w="630"/>
        <w:gridCol w:w="690"/>
        <w:gridCol w:w="205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9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Critere</w:t>
            </w:r>
          </w:p>
        </w:tc>
        <w:tc>
          <w:tcPr>
            <w:tcW w:type="dxa" w:w="33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Ce qu'il faut apprecier</w:t>
            </w:r>
          </w:p>
        </w:tc>
        <w:tc>
          <w:tcPr>
            <w:tcW w:type="dxa" w:w="63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Pts</w:t>
            </w:r>
          </w:p>
        </w:tc>
        <w:tc>
          <w:tcPr>
            <w:tcW w:type="dxa" w:w="63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Note</w:t>
            </w:r>
          </w:p>
        </w:tc>
        <w:tc>
          <w:tcPr>
            <w:tcW w:type="dxa" w:w="69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Score</w:t>
            </w:r>
          </w:p>
        </w:tc>
        <w:tc>
          <w:tcPr>
            <w:tcW w:type="dxa" w:w="205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Commentaire</w:t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Potentiel de chiffre d'affaires</w:t>
            </w:r>
          </w:p>
        </w:tc>
        <w:tc>
          <w:tcPr>
            <w:tcW w:type="dxa" w:w="33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 moyen, taille des contrats vises, capacite a absorber plus de marches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15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Volume de soumissions</w:t>
            </w:r>
          </w:p>
        </w:tc>
        <w:tc>
          <w:tcPr>
            <w:tcW w:type="dxa" w:w="33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Nombre d'appels d'offres analyses et dossiers de soumission prevus sur 12 mois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15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Taux de succes actuel</w:t>
            </w:r>
          </w:p>
        </w:tc>
        <w:tc>
          <w:tcPr>
            <w:tcW w:type="dxa" w:w="33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Ratio contrats obtenus / soumissions deposees et tendance des 3 dernieres annees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Maturite administrative</w:t>
            </w:r>
          </w:p>
        </w:tc>
        <w:tc>
          <w:tcPr>
            <w:tcW w:type="dxa" w:w="33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Disponibilite des documents, references, attestations, archivage et delais internes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Capacite technique</w:t>
            </w:r>
          </w:p>
        </w:tc>
        <w:tc>
          <w:tcPr>
            <w:tcW w:type="dxa" w:w="33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Personnel, materiel, methodes, references similaires et partenaires mobilisables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Complexite des dossiers</w:t>
            </w:r>
          </w:p>
        </w:tc>
        <w:tc>
          <w:tcPr>
            <w:tcW w:type="dxa" w:w="33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DAO techniques, bailleurs, lots multiples, groupements, variantes, prix detaille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Charge d'accompagnement</w:t>
            </w:r>
          </w:p>
        </w:tc>
        <w:tc>
          <w:tcPr>
            <w:tcW w:type="dxa" w:w="33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Veille, montage, redaction, depots, suivi contrats, reunions et urgence recurrente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Risque et contentieux</w:t>
            </w:r>
          </w:p>
        </w:tc>
        <w:tc>
          <w:tcPr>
            <w:tcW w:type="dxa" w:w="33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Litiges, penalites, resiliations, retards, solvabilite et risque reputationnel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1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Potentiel de fidelisation</w:t>
            </w:r>
          </w:p>
        </w:tc>
        <w:tc>
          <w:tcPr>
            <w:tcW w:type="dxa" w:w="33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Vision annuelle, budget conseil, gouvernance et recurrence des besoins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10</w:t>
            </w:r>
          </w:p>
        </w:tc>
        <w:tc>
          <w:tcPr>
            <w:tcW w:type="dxa" w:w="63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69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205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tbl>
      <w:tblGrid>
        <w:gridCol w:w="2250"/>
        <w:gridCol w:w="711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Total potentiel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/50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Total charge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/50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Score global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/100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Niveau de risque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[ ] Faible   [ ] Moyen   [ ] Eleve</w:t>
            </w:r>
          </w:p>
        </w:tc>
      </w:tr>
      <w:tr>
        <w:trPr>
          <w:trHeight w:hRule="atLeast" w:val="360"/>
        </w:trP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shd w:fill="F2F4F7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0B2545"/>
                <w:sz w:val="18"/>
              </w:rPr>
              <w:t>Niveau d'autonomie</w:t>
            </w:r>
          </w:p>
        </w:tc>
        <w:tc>
          <w:tcPr>
            <w:tcW w:type="dxa" w:w="7110"/>
            <w:tcMar>
              <w:top w:w="80" w:type="dxa"/>
              <w:bottom w:w="80" w:type="dxa"/>
              <w:start w:w="120" w:type="dxa"/>
              <w:end w:w="120" w:type="dxa"/>
            </w:tcMar>
            <w:shd w:fill="FFFFFF"/>
            <w:vAlign w:val="center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8"/>
              </w:rPr>
              <w:t>[ ] Faible   [ ] Moyen   [ ] Fort</w:t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11. Interpretation et honoraires recommandes</w:t>
      </w:r>
    </w:p>
    <w:tbl>
      <w:tblGrid>
        <w:gridCol w:w="1240"/>
        <w:gridCol w:w="2480"/>
        <w:gridCol w:w="2980"/>
        <w:gridCol w:w="26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2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Score global</w:t>
            </w:r>
          </w:p>
        </w:tc>
        <w:tc>
          <w:tcPr>
            <w:tcW w:type="dxa" w:w="24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Profil client</w:t>
            </w:r>
          </w:p>
        </w:tc>
        <w:tc>
          <w:tcPr>
            <w:tcW w:type="dxa" w:w="29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Orientation commerciale</w:t>
            </w:r>
          </w:p>
        </w:tc>
        <w:tc>
          <w:tcPr>
            <w:tcW w:type="dxa" w:w="26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Mode d'honoraires</w:t>
            </w:r>
          </w:p>
        </w:tc>
      </w:tr>
      <w:tr>
        <w:tc>
          <w:tcPr>
            <w:tcW w:type="dxa" w:w="12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80 a 100</w:t>
            </w:r>
          </w:p>
        </w:tc>
        <w:tc>
          <w:tcPr>
            <w:tcW w:type="dxa" w:w="2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Client strategique a fort potentiel</w:t>
            </w:r>
          </w:p>
        </w:tc>
        <w:tc>
          <w:tcPr>
            <w:tcW w:type="dxa" w:w="2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Contrat annuel premium, relation prioritaire</w:t>
            </w:r>
          </w:p>
        </w:tc>
        <w:tc>
          <w:tcPr>
            <w:tcW w:type="dxa" w:w="26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Forfait annuel + option succes</w:t>
            </w:r>
          </w:p>
        </w:tc>
      </w:tr>
      <w:tr>
        <w:tc>
          <w:tcPr>
            <w:tcW w:type="dxa" w:w="12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60 a 79</w:t>
            </w:r>
          </w:p>
        </w:tc>
        <w:tc>
          <w:tcPr>
            <w:tcW w:type="dxa" w:w="2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Bon client avec besoin recurrent</w:t>
            </w:r>
          </w:p>
        </w:tc>
        <w:tc>
          <w:tcPr>
            <w:tcW w:type="dxa" w:w="2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Contrat annuel standard ou croissance</w:t>
            </w:r>
          </w:p>
        </w:tc>
        <w:tc>
          <w:tcPr>
            <w:tcW w:type="dxa" w:w="26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Forfait annuel module selon volume</w:t>
            </w:r>
          </w:p>
        </w:tc>
      </w:tr>
      <w:tr>
        <w:tc>
          <w:tcPr>
            <w:tcW w:type="dxa" w:w="12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40 a 59</w:t>
            </w:r>
          </w:p>
        </w:tc>
        <w:tc>
          <w:tcPr>
            <w:tcW w:type="dxa" w:w="2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Potentiel moyen ou charge incertaine</w:t>
            </w:r>
          </w:p>
        </w:tc>
        <w:tc>
          <w:tcPr>
            <w:tcW w:type="dxa" w:w="29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Mission test ou forfait limite</w:t>
            </w:r>
          </w:p>
        </w:tc>
        <w:tc>
          <w:tcPr>
            <w:tcW w:type="dxa" w:w="26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Forfait ponctuel + reevaluation trimestrielle</w:t>
            </w:r>
          </w:p>
        </w:tc>
      </w:tr>
      <w:tr>
        <w:tc>
          <w:tcPr>
            <w:tcW w:type="dxa" w:w="12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Moins de 40</w:t>
            </w:r>
          </w:p>
        </w:tc>
        <w:tc>
          <w:tcPr>
            <w:tcW w:type="dxa" w:w="2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Client faible, instable ou trop risque</w:t>
            </w:r>
          </w:p>
        </w:tc>
        <w:tc>
          <w:tcPr>
            <w:tcW w:type="dxa" w:w="29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Eviter l'annuel sauf garanties solides</w:t>
            </w:r>
          </w:p>
        </w:tc>
        <w:tc>
          <w:tcPr>
            <w:tcW w:type="dxa" w:w="26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Mission ponctuelle payee d'avance</w:t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2"/>
      </w:pPr>
      <w:r>
        <w:t>Packs de prestation annuelle</w:t>
      </w:r>
    </w:p>
    <w:tbl>
      <w:tblGrid>
        <w:gridCol w:w="1700"/>
        <w:gridCol w:w="2200"/>
        <w:gridCol w:w="3500"/>
        <w:gridCol w:w="196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Pack</w:t>
            </w:r>
          </w:p>
        </w:tc>
        <w:tc>
          <w:tcPr>
            <w:tcW w:type="dxa" w:w="22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Client cible</w:t>
            </w:r>
          </w:p>
        </w:tc>
        <w:tc>
          <w:tcPr>
            <w:tcW w:type="dxa" w:w="35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Services inclus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Ajustements possibles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Veille</w:t>
            </w:r>
          </w:p>
        </w:tc>
        <w:tc>
          <w:tcPr>
            <w:tcW w:type="dxa" w:w="2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Entreprise autonome, faible volume</w:t>
            </w:r>
          </w:p>
        </w:tc>
        <w:tc>
          <w:tcPr>
            <w:tcW w:type="dxa" w:w="35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Veille, tri des opportunites, alertes, brief mensuel</w:t>
            </w:r>
          </w:p>
        </w:tc>
        <w:tc>
          <w:tcPr>
            <w:tcW w:type="dxa" w:w="19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Option analyse DAO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Soumission</w:t>
            </w:r>
          </w:p>
        </w:tc>
        <w:tc>
          <w:tcPr>
            <w:tcW w:type="dxa" w:w="2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4 a 8 dossiers par an</w:t>
            </w:r>
          </w:p>
        </w:tc>
        <w:tc>
          <w:tcPr>
            <w:tcW w:type="dxa" w:w="35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Veille, analyse DAO, montage administratif, controle qualite</w:t>
            </w:r>
          </w:p>
        </w:tc>
        <w:tc>
          <w:tcPr>
            <w:tcW w:type="dxa" w:w="19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Prix par dossier supplementaire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Croissance</w:t>
            </w:r>
          </w:p>
        </w:tc>
        <w:tc>
          <w:tcPr>
            <w:tcW w:type="dxa" w:w="2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9 a 15 dossiers par an</w:t>
            </w:r>
          </w:p>
        </w:tc>
        <w:tc>
          <w:tcPr>
            <w:tcW w:type="dxa" w:w="35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Soumissions completes, memoire technique, suivi depot, reporting</w:t>
            </w:r>
          </w:p>
        </w:tc>
        <w:tc>
          <w:tcPr>
            <w:tcW w:type="dxa" w:w="19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Reunion mensuelle et priorisation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Premium annuel</w:t>
            </w:r>
          </w:p>
        </w:tc>
        <w:tc>
          <w:tcPr>
            <w:tcW w:type="dxa" w:w="2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16+ dossiers ou marches complexes</w:t>
            </w:r>
          </w:p>
        </w:tc>
        <w:tc>
          <w:tcPr>
            <w:tcW w:type="dxa" w:w="35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Accompagnement complet, pilotage annuel, suivi contrats, tableaux de bord</w:t>
            </w:r>
          </w:p>
        </w:tc>
        <w:tc>
          <w:tcPr>
            <w:tcW w:type="dxa" w:w="19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Equipe dediee et SLA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Risque</w:t>
            </w:r>
          </w:p>
        </w:tc>
        <w:tc>
          <w:tcPr>
            <w:tcW w:type="dxa" w:w="2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Client avec litiges ou execution sensible</w:t>
            </w:r>
          </w:p>
        </w:tc>
        <w:tc>
          <w:tcPr>
            <w:tcW w:type="dxa" w:w="35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Analyse risque, reclamations, assistance contractuelle renforcee</w:t>
            </w:r>
          </w:p>
        </w:tc>
        <w:tc>
          <w:tcPr>
            <w:tcW w:type="dxa" w:w="19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Majoration, avance et perimetre strict</w:t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2"/>
      </w:pPr>
      <w:r>
        <w:t>Ajusteurs de prix</w:t>
      </w:r>
    </w:p>
    <w:tbl>
      <w:tblGrid>
        <w:gridCol w:w="1700"/>
        <w:gridCol w:w="4660"/>
        <w:gridCol w:w="300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Ajusteur</w:t>
            </w:r>
          </w:p>
        </w:tc>
        <w:tc>
          <w:tcPr>
            <w:tcW w:type="dxa" w:w="466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Quand l'appliquer</w:t>
            </w:r>
          </w:p>
        </w:tc>
        <w:tc>
          <w:tcPr>
            <w:tcW w:type="dxa" w:w="30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Effet recommande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Volume</w:t>
            </w:r>
          </w:p>
        </w:tc>
        <w:tc>
          <w:tcPr>
            <w:tcW w:type="dxa" w:w="46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Nombre de dossiers superieur au seuil du pack</w:t>
            </w:r>
          </w:p>
        </w:tc>
        <w:tc>
          <w:tcPr>
            <w:tcW w:type="dxa" w:w="3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Forfait par dossier supplementaire ou bascule pack superieur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Complexite</w:t>
            </w:r>
          </w:p>
        </w:tc>
        <w:tc>
          <w:tcPr>
            <w:tcW w:type="dxa" w:w="46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DAO techniques, bailleurs, multi-lots, groupements, variantes</w:t>
            </w:r>
          </w:p>
        </w:tc>
        <w:tc>
          <w:tcPr>
            <w:tcW w:type="dxa" w:w="3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Majoration de complexite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Urgence</w:t>
            </w:r>
          </w:p>
        </w:tc>
        <w:tc>
          <w:tcPr>
            <w:tcW w:type="dxa" w:w="46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Dossier remis tardivement, delai court, corrections multiples</w:t>
            </w:r>
          </w:p>
        </w:tc>
        <w:tc>
          <w:tcPr>
            <w:tcW w:type="dxa" w:w="3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Majoration urgence ou refus du dossier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Risque</w:t>
            </w:r>
          </w:p>
        </w:tc>
        <w:tc>
          <w:tcPr>
            <w:tcW w:type="dxa" w:w="46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Contentieux, reputation, documents incomplets, solvabilite fragile</w:t>
            </w:r>
          </w:p>
        </w:tc>
        <w:tc>
          <w:tcPr>
            <w:tcW w:type="dxa" w:w="3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Avance, limitation du perimetre, majoration ou refus</w:t>
            </w:r>
          </w:p>
        </w:tc>
      </w:tr>
      <w:tr>
        <w:tc>
          <w:tcPr>
            <w:tcW w:type="dxa" w:w="17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Autonomie</w:t>
            </w:r>
          </w:p>
        </w:tc>
        <w:tc>
          <w:tcPr>
            <w:tcW w:type="dxa" w:w="466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Client fournit vite les pieces et valide rapidement</w:t>
            </w:r>
          </w:p>
        </w:tc>
        <w:tc>
          <w:tcPr>
            <w:tcW w:type="dxa" w:w="30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Reduction ou maintien du forfait standard</w:t>
            </w:r>
          </w:p>
        </w:tc>
      </w:tr>
      <w:tr>
        <w:tc>
          <w:tcPr>
            <w:tcW w:type="dxa" w:w="17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Succes</w:t>
            </w:r>
          </w:p>
        </w:tc>
        <w:tc>
          <w:tcPr>
            <w:tcW w:type="dxa" w:w="466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Contrats obtenus grace a l'accompagnement</w:t>
            </w:r>
          </w:p>
        </w:tc>
        <w:tc>
          <w:tcPr>
            <w:tcW w:type="dxa" w:w="30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Commission de succes a valider juridiquement et contractuellement</w:t>
            </w:r>
          </w:p>
        </w:tc>
      </w:tr>
    </w:tbl>
    <w:p>
      <w:pPr>
        <w:spacing w:before="0" w:after="40" w:line="300" w:lineRule="auto"/>
        <w:jc w:val="left"/>
      </w:pPr>
    </w:p>
    <w:p>
      <w:r>
        <w:br w:type="page"/>
      </w:r>
    </w:p>
    <w:p>
      <w:pPr>
        <w:pStyle w:val="Heading1"/>
      </w:pPr>
      <w:r>
        <w:t>12. Pieces a demander au client</w:t>
      </w:r>
    </w:p>
    <w:tbl>
      <w:tblGrid>
        <w:gridCol w:w="4480"/>
        <w:gridCol w:w="840"/>
        <w:gridCol w:w="840"/>
        <w:gridCol w:w="320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448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Piece / information</w:t>
            </w:r>
          </w:p>
        </w:tc>
        <w:tc>
          <w:tcPr>
            <w:tcW w:type="dxa" w:w="8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Recu</w:t>
            </w:r>
          </w:p>
        </w:tc>
        <w:tc>
          <w:tcPr>
            <w:tcW w:type="dxa" w:w="8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A jour</w:t>
            </w:r>
          </w:p>
        </w:tc>
        <w:tc>
          <w:tcPr>
            <w:tcW w:type="dxa" w:w="320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Commentaire</w:t>
            </w:r>
          </w:p>
        </w:tc>
      </w:tr>
      <w:tr>
        <w:tc>
          <w:tcPr>
            <w:tcW w:type="dxa" w:w="4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Documents juridiques: RCCM, statuts, pouvoir du signataire</w:t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Identifiant fiscal / attestations fiscales et sociales</w:t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Etats financiers ou CA certifie des 3 dernieres annees</w:t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References et attestations de bonne execution</w:t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CV du personnel cle et diplomes lorsque requis</w:t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Liste du materiel, moyens logistiques et assurances</w:t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Modeles d'offres, memoires techniques ou dossiers deja soumis</w:t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Historique des marches gagnes et perdus</w:t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Details des contentieux, penalites ou resiliations</w:t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448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Objectifs commerciaux sur 12 mois</w:t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  <w:tc>
          <w:tcPr>
            <w:tcW w:type="dxa" w:w="320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p>
      <w:pPr>
        <w:pStyle w:val="Heading1"/>
      </w:pPr>
      <w:r>
        <w:t>Validation interne PROCUREX</w:t>
      </w:r>
    </w:p>
    <w:tbl>
      <w:tblGrid>
        <w:gridCol w:w="2520"/>
        <w:gridCol w:w="6840"/>
      </w:tblGrid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4" w:space="0" w:color="B8C4D2"/>
          <w:left w:val="single" w:sz="4" w:space="0" w:color="B8C4D2"/>
          <w:bottom w:val="single" w:sz="4" w:space="0" w:color="B8C4D2"/>
          <w:right w:val="single" w:sz="4" w:space="0" w:color="B8C4D2"/>
          <w:insideH w:val="single" w:sz="4" w:space="0" w:color="B8C4D2"/>
          <w:insideV w:val="single" w:sz="4" w:space="0" w:color="B8C4D2"/>
        </w:tblBorders>
      </w:tblPr>
      <w:tr>
        <w:trPr>
          <w:trHeight w:hRule="atLeast" w:val="360"/>
          <w:tblHeader w:val="true"/>
        </w:trPr>
        <w:tc>
          <w:tcPr>
            <w:tcW w:type="dxa" w:w="252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Champ</w:t>
            </w:r>
          </w:p>
        </w:tc>
        <w:tc>
          <w:tcPr>
            <w:tcW w:type="dxa" w:w="6840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  <w:vAlign w:val="center"/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/>
                <w:color w:val="0B2545"/>
                <w:sz w:val="17"/>
              </w:rPr>
              <w:t>Decision / commentaire</w:t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Consultant evaluateur</w:t>
            </w:r>
          </w:p>
        </w:tc>
        <w:tc>
          <w:tcPr>
            <w:tcW w:type="dxa" w:w="6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Date de l'evaluation</w:t>
            </w:r>
          </w:p>
        </w:tc>
        <w:tc>
          <w:tcPr>
            <w:tcW w:type="dxa" w:w="6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Avis commercial</w:t>
            </w:r>
          </w:p>
        </w:tc>
        <w:tc>
          <w:tcPr>
            <w:tcW w:type="dxa" w:w="6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Accepter   [ ] Accepter sous conditions   [ ] Contrat ponctuel uniquement   [ ] Refuser</w:t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Pack recommande</w:t>
            </w:r>
          </w:p>
        </w:tc>
        <w:tc>
          <w:tcPr>
            <w:tcW w:type="dxa" w:w="6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[ ] Veille   [ ] Soumission   [ ] Croissance   [ ] Premium annuel   [ ] Risque/contentieux</w:t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Honoraire annuel propose</w:t>
            </w:r>
          </w:p>
        </w:tc>
        <w:tc>
          <w:tcPr>
            <w:tcW w:type="dxa" w:w="6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Commission de succes eventuelle</w:t>
            </w:r>
          </w:p>
        </w:tc>
        <w:tc>
          <w:tcPr>
            <w:tcW w:type="dxa" w:w="6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Conditions particulieres</w:t>
            </w:r>
          </w:p>
        </w:tc>
        <w:tc>
          <w:tcPr>
            <w:tcW w:type="dxa" w:w="6840"/>
            <w:shd w:fill="FFFFFF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  <w:tr>
        <w:tc>
          <w:tcPr>
            <w:tcW w:type="dxa" w:w="252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  <w:t>Signature / visa direction</w:t>
            </w:r>
          </w:p>
        </w:tc>
        <w:tc>
          <w:tcPr>
            <w:tcW w:type="dxa" w:w="6840"/>
            <w:shd w:fill="F8FAFC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000000"/>
                <w:sz w:val="17"/>
              </w:rPr>
            </w:r>
          </w:p>
        </w:tc>
      </w:tr>
    </w:tbl>
    <w:p>
      <w:pPr>
        <w:spacing w:before="0" w:after="40" w:line="300" w:lineRule="auto"/>
        <w:jc w:val="left"/>
      </w:pP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Calibri"/>
        <w:color w:val="5C6773"/>
        <w:sz w:val="18"/>
      </w:rPr>
      <w:t xml:space="preserve">Page </w:t>
      <w:fldChar w:fldCharType="begin"/>
      <w:instrText xml:space="preserve">PAGE</w:instrTex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eastAsia="Calibri"/>
        <w:color w:val="5C6773"/>
        <w:sz w:val="17"/>
      </w:rPr>
      <w:t>Cotonou | Document interne de qualification commerciale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 w:eastAsia="Calibri"/>
        <w:b/>
        <w:color w:val="0B2545"/>
        <w:sz w:val="18"/>
      </w:rPr>
      <w:t>PROCUREX INTERNATIONAL CONSULTING</w:t>
    </w:r>
    <w:r>
      <w:rPr>
        <w:rFonts w:ascii="Calibri" w:hAnsi="Calibri" w:eastAsia="Calibri"/>
        <w:color w:val="5C6773"/>
        <w:sz w:val="18"/>
      </w:rPr>
      <w:t xml:space="preserve">  |  Fiche d'evaluation client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/>
    <w:r>
      <w:rPr>
        <w:rFonts w:ascii="Calibri" w:hAnsi="Calibri" w:eastAsia="Calibri"/>
        <w:b/>
        <w:color w:val="0B2545"/>
        <w:sz w:val="18"/>
      </w:rPr>
      <w:t>PROCUREX INTERNATIONAL CONSULTING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check d'evaluation d'entreprise cliente</dc:title>
  <dc:subject>Qualification commerciale et fixation des honoraires annuels</dc:subject>
  <dc:creator>PROCUREX INTERNATIONAL CONSULTING</dc:creator>
  <cp:keywords>marches publics, evaluation client, honoraires, contrat annuel, PROCUREX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